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19" w:rsidRPr="009D3019" w:rsidRDefault="009D3019" w:rsidP="009D3019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b/>
          <w:bCs/>
          <w:color w:val="1F1A22"/>
          <w:kern w:val="36"/>
          <w:sz w:val="45"/>
          <w:szCs w:val="45"/>
          <w:lang w:eastAsia="ru-RU"/>
        </w:rPr>
      </w:pPr>
      <w:r w:rsidRPr="009D3019">
        <w:rPr>
          <w:rFonts w:ascii="Calibri" w:eastAsia="Times New Roman" w:hAnsi="Calibri" w:cs="Calibri"/>
          <w:b/>
          <w:bCs/>
          <w:color w:val="1F1A22"/>
          <w:kern w:val="36"/>
          <w:sz w:val="45"/>
          <w:szCs w:val="45"/>
          <w:lang w:eastAsia="ru-RU"/>
        </w:rPr>
        <w:t>Антитеррористическая</w:t>
      </w:r>
      <w:r w:rsidRPr="009D3019">
        <w:rPr>
          <w:rFonts w:ascii="Lato" w:eastAsia="Times New Roman" w:hAnsi="Lato" w:cs="Times New Roman"/>
          <w:b/>
          <w:bCs/>
          <w:color w:val="1F1A22"/>
          <w:kern w:val="36"/>
          <w:sz w:val="45"/>
          <w:szCs w:val="45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1F1A22"/>
          <w:kern w:val="36"/>
          <w:sz w:val="45"/>
          <w:szCs w:val="45"/>
          <w:lang w:eastAsia="ru-RU"/>
        </w:rPr>
        <w:t>безопасность</w:t>
      </w:r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современных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условиях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проблема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защищённости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особо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актуальна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остаётся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приоритетной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государственной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так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региональной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политике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сфере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Угроза</w:t>
      </w:r>
      <w:proofErr w:type="spellEnd"/>
      <w:proofErr w:type="gramEnd"/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совершения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сегодня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существует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практически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каждого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жителя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планеты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абсолютной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гарантии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менее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общество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обязано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предпринимать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всё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возможное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уровня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защиты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защищённость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приобретает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особую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значимость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поскольку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этого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зависят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жизни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детей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Активно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ведётся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созданию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специального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комплекса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направленных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антитеррористическую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защищённость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: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укрепление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материальной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базы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;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стабильно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действующая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профилактическая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направленная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усиление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внимания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персонала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проблеме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терроризма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;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формирование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навыков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оперативной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своевременной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реакции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угрозу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терроризма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является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объектом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повышенной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связи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массовым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присутствием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ограниченной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целью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предупреждения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пресечения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совершения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террористического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учебный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процесс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вводится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комплекс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организационно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профилактических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мероприятий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позволяющий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предотвратить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максимально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сократить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потери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совершении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террористического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Комплекс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организационно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профилактических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мероприятий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включает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>: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инструктаж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работников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всех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уровней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противодействию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террористическим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проявлениям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инвентаризацию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основных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запасных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выходов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проведение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осмотров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организацию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контролируемого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въезда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автотранспорта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организацию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пропускного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режима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организацию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уборки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информационное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сфере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деятельности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работоспособности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телефонной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связи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дежурной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службы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дежурной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частью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УВД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плановые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работоспособности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технических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средств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защиты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(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кодовых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замков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электронных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замков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домофонов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.);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проведение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тренировок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деятельности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инвентаризацию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сдаваемых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аренду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lastRenderedPageBreak/>
        <w:t>За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антитеррористическую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безопасность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школах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отвечает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администрация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вместе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муниципальными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властями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правоохранительными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органами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населенного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пункта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Требования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школ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b/>
          <w:bCs/>
          <w:color w:val="4A474B"/>
          <w:sz w:val="24"/>
          <w:szCs w:val="24"/>
          <w:lang w:eastAsia="ru-RU"/>
        </w:rPr>
        <w:t>такие</w:t>
      </w:r>
      <w:r w:rsidRPr="009D3019">
        <w:rPr>
          <w:rFonts w:ascii="Lato" w:eastAsia="Times New Roman" w:hAnsi="Lato" w:cs="Times New Roman"/>
          <w:b/>
          <w:bCs/>
          <w:color w:val="4A474B"/>
          <w:sz w:val="24"/>
          <w:szCs w:val="24"/>
          <w:lang w:eastAsia="ru-RU"/>
        </w:rPr>
        <w:t>: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силами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вневедомственной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частных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предприятий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предотвращать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опасные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ситуации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проверять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всех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кто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входит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здание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персонал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детей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любых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насильственных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действий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Установить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металлические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двери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решетки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окна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системы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сигнализации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камеры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систем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радиационным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химическим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состоянием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окружающей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среды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Составить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паспорт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защищенности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Постоянно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контролировать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противопожарную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электробезопасность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Обучать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персонал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учеников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мероприятиям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гражданской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обороне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улучшать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материально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техническое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оснащение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Общаться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родителями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объяснять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они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могут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повлиять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Проводить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совещания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планерки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вопросам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противодействия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экстремизму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терроризму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Документ по антитеррористической защищенности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каждом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образовательном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учреждении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должен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быть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Паспорт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защищенности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br/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этом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документе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:</w:t>
      </w:r>
    </w:p>
    <w:p w:rsidR="009D3019" w:rsidRPr="009D3019" w:rsidRDefault="009D3019" w:rsidP="009D301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сведения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организована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представлены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сценарии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развития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кризисных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событий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отмечены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слабые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места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защищенности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объекта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варианты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исправления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ситуации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оценка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последствий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Паспорт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нужен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чтобы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оценить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объект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недопущения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терактов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минимизации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последствий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Деятельность комиссии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комиссия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составляет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план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совместных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мероприятий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правопорядка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Проводится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полная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инвентаризация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обследования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имеющихся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proofErr w:type="gramStart"/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выходов</w:t>
      </w:r>
      <w:proofErr w:type="gramEnd"/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всех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лиц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входящих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учебного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заведения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ходе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инвентаризации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комиссия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определяет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минимальное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количество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которые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нужно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оставить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открытыми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остальные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закрываются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опечатываются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Комиссия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также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разрабатывает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инструкции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подробно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расписаны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действия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персонала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детей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случае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угрозы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присутствующих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lastRenderedPageBreak/>
        <w:t>В комплекс предупредительных мер входят:</w:t>
      </w:r>
    </w:p>
    <w:p w:rsidR="009D3019" w:rsidRPr="009D3019" w:rsidRDefault="009D3019" w:rsidP="009D301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ежедневный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обход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осмотр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всех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мест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которых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закладка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взрывного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устройства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регулярная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складских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особенно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после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поступления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либо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материалов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тщательный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подбором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кадров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;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систематическая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сданных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аренду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обход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работниками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здания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вечерам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целостности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окон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решеток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дверей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инструктаж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совместно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работниками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правоохранительных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Действия при подозрении на вероятность теракта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Если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имеются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подозрения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возможность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организации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следует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усилить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бдительность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немедленно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докладывать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директору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следующих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подозрительных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признаках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:</w:t>
      </w:r>
      <w:r w:rsidRPr="009D3019">
        <w:rPr>
          <w:rFonts w:ascii="Lato" w:eastAsia="Times New Roman" w:hAnsi="Lato" w:cs="Lato"/>
          <w:color w:val="4A474B"/>
          <w:sz w:val="24"/>
          <w:szCs w:val="24"/>
          <w:lang w:eastAsia="ru-RU"/>
        </w:rPr>
        <w:t> 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попытка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проникновения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посторонних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стремление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незнакомых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вступить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контакт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детьми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ведение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наблюдения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Lato" w:eastAsia="Times New Roman" w:hAnsi="Lato" w:cs="Lato"/>
          <w:color w:val="4A474B"/>
          <w:sz w:val="24"/>
          <w:szCs w:val="24"/>
          <w:lang w:eastAsia="ru-RU"/>
        </w:rPr>
        <w:t>–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визуального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помощью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технических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средств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изучение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подсобных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посторонними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людьми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прибытие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адрес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незаказанных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грузов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появление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незнакомых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предметов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выход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из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строя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сигнализации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телефонной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связи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электроэнергии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Работа с учащимися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Регулярный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инструктаж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проводится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школьниками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объясняется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опасность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недопустимость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следующих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действий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:</w:t>
      </w:r>
    </w:p>
    <w:p w:rsidR="009D3019" w:rsidRPr="009D3019" w:rsidRDefault="009D3019" w:rsidP="009D3019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трогать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пользоваться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proofErr w:type="gramStart"/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пакетами</w:t>
      </w:r>
      <w:proofErr w:type="gramEnd"/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предметами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найденными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улице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брать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посторонних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людей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либо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вещи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игрушки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нельзя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трогать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проволоку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шнур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натянутые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каком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-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месте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Организация безопасности в праздничные дни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Для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профилактики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террористических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угроз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две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недели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праздничных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дней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директор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издает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приказ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усилении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антитеррористической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который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регламентирует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дополнительные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принимаемые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целях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праздничных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мероприятий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действия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включают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: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lastRenderedPageBreak/>
        <w:t>проведение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внепланового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инструктажа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учителей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остального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персонала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учащихся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усиление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ужесточение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пропускной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системы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дежурство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учителей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учащихся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этажах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лестницах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столовой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ежедневная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проверка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всех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помещений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выходов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охранников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;</w:t>
      </w:r>
    </w:p>
    <w:p w:rsidR="009D3019" w:rsidRPr="009D3019" w:rsidRDefault="009D3019" w:rsidP="009D3019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своевременный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вывоз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мусора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обеспечение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санитарного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состояния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</w:p>
    <w:p w:rsidR="009D3019" w:rsidRPr="009D3019" w:rsidRDefault="009D3019" w:rsidP="009D3019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Контроль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исполнением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приказа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лежит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директоре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школы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каждому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случаю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нарушения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приказа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проводиться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служебное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расследование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привлечением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виновных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ответственности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  <w:r w:rsidRPr="009D3019">
        <w:rPr>
          <w:rFonts w:ascii="Lato" w:eastAsia="Times New Roman" w:hAnsi="Lato" w:cs="Lato"/>
          <w:color w:val="4A474B"/>
          <w:sz w:val="24"/>
          <w:szCs w:val="24"/>
          <w:lang w:eastAsia="ru-RU"/>
        </w:rPr>
        <w:t> 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Формы работы с детьми</w:t>
      </w:r>
    </w:p>
    <w:p w:rsidR="009D3019" w:rsidRPr="009D3019" w:rsidRDefault="009D3019" w:rsidP="009D3019">
      <w:pPr>
        <w:shd w:val="clear" w:color="auto" w:fill="FFFFFF"/>
        <w:spacing w:after="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Проведения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учений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тренировок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безопасной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своевременной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эвакуации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работников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обучающихся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лиц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находящихся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объекте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(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территории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),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получении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информации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об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угрозе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совершения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террористического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акта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либо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его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совершении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Ребенок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должен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научиться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вести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себя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правильно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нестандартных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ситуациях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сожалению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терроризм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Lato" w:eastAsia="Times New Roman" w:hAnsi="Lato" w:cs="Lato"/>
          <w:color w:val="4A474B"/>
          <w:sz w:val="24"/>
          <w:szCs w:val="24"/>
          <w:lang w:eastAsia="ru-RU"/>
        </w:rPr>
        <w:t>–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это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реальность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,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ребенок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должен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быть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к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ней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готов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ради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спасения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своей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</w:t>
      </w:r>
      <w:r w:rsidRPr="009D3019">
        <w:rPr>
          <w:rFonts w:ascii="Calibri" w:eastAsia="Times New Roman" w:hAnsi="Calibri" w:cs="Calibri"/>
          <w:color w:val="4A474B"/>
          <w:sz w:val="24"/>
          <w:szCs w:val="24"/>
          <w:lang w:eastAsia="ru-RU"/>
        </w:rPr>
        <w:t>жизни</w:t>
      </w: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.</w:t>
      </w:r>
      <w:r w:rsidRPr="009D3019">
        <w:rPr>
          <w:rFonts w:ascii="Lato" w:eastAsia="Times New Roman" w:hAnsi="Lato" w:cs="Lato"/>
          <w:color w:val="4A474B"/>
          <w:sz w:val="24"/>
          <w:szCs w:val="24"/>
          <w:lang w:eastAsia="ru-RU"/>
        </w:rPr>
        <w:t> </w:t>
      </w:r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 </w:t>
      </w:r>
    </w:p>
    <w:p w:rsidR="009D3019" w:rsidRPr="009D3019" w:rsidRDefault="009D3019" w:rsidP="009D3019">
      <w:pPr>
        <w:shd w:val="clear" w:color="auto" w:fill="FFFFFF"/>
        <w:spacing w:before="240" w:after="120" w:line="240" w:lineRule="auto"/>
        <w:outlineLvl w:val="1"/>
        <w:rPr>
          <w:rFonts w:ascii="inherit" w:eastAsia="Times New Roman" w:hAnsi="inherit" w:cs="Times New Roman"/>
          <w:b/>
          <w:bCs/>
          <w:color w:val="4A474B"/>
          <w:sz w:val="45"/>
          <w:szCs w:val="45"/>
          <w:lang w:eastAsia="ru-RU"/>
        </w:rPr>
      </w:pPr>
      <w:r w:rsidRPr="009D3019">
        <w:rPr>
          <w:rFonts w:ascii="inherit" w:eastAsia="Times New Roman" w:hAnsi="inherit" w:cs="Times New Roman"/>
          <w:b/>
          <w:bCs/>
          <w:color w:val="4A474B"/>
          <w:sz w:val="45"/>
          <w:szCs w:val="45"/>
          <w:lang w:eastAsia="ru-RU"/>
        </w:rPr>
        <w:t>Полезная информация по антитеррористической безопасности</w:t>
      </w:r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9D3019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 </w:t>
      </w:r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5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Внешний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вид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самодельных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взрывных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устройств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,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инженерных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боеприпасов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которые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могут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быть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использованы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для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терактов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6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тему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: 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«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Рекомендуемые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расстояния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удаления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оцепления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обнаружении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взрывного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устройства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или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предмета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похожего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взрывное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устройство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»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7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тему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: 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«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Виды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терроризма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»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8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тему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: 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«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Как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стать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заложником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»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9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тему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: 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«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Что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делать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угрозе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телефону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»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0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Список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террористических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организаций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,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активно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действующих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России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1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Что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нужно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знать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террактах</w:t>
        </w:r>
        <w:proofErr w:type="spellEnd"/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2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Тактика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терроризма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3" w:history="1"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Инструкция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по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действиям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руководителей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учреждений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и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организаций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установлении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уровней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террористической</w:t>
        </w:r>
        <w:r w:rsidRPr="009D3019">
          <w:rPr>
            <w:rFonts w:ascii="Lato" w:eastAsia="Times New Roman" w:hAnsi="Lato" w:cs="Times New Roman"/>
            <w:color w:val="9538C5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9538C5"/>
            <w:sz w:val="24"/>
            <w:szCs w:val="24"/>
            <w:u w:val="single"/>
            <w:lang w:eastAsia="ru-RU"/>
          </w:rPr>
          <w:t>опасности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4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тему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: 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«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Как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вести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себя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обстреле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после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него</w:t>
        </w:r>
        <w:r w:rsidRPr="009D3019">
          <w:rPr>
            <w:rFonts w:ascii="Lato" w:eastAsia="Times New Roman" w:hAnsi="Lato" w:cs="Lato"/>
            <w:color w:val="3384E0"/>
            <w:sz w:val="24"/>
            <w:szCs w:val="24"/>
            <w:u w:val="single"/>
            <w:lang w:eastAsia="ru-RU"/>
          </w:rPr>
          <w:t>»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5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для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населения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артобстреле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6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минная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опасность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7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по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антитеррору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8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обнаружении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мины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ПФМ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-1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лепесток</w:t>
        </w:r>
      </w:hyperlink>
    </w:p>
    <w:p w:rsidR="009D3019" w:rsidRPr="009D3019" w:rsidRDefault="009D3019" w:rsidP="009D301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hyperlink r:id="rId19" w:history="1"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Памятка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противопехотные</w:t>
        </w:r>
        <w:r w:rsidRPr="009D3019">
          <w:rPr>
            <w:rFonts w:ascii="Lato" w:eastAsia="Times New Roman" w:hAnsi="Lato" w:cs="Times New Roman"/>
            <w:color w:val="3384E0"/>
            <w:sz w:val="24"/>
            <w:szCs w:val="24"/>
            <w:u w:val="single"/>
            <w:lang w:eastAsia="ru-RU"/>
          </w:rPr>
          <w:t xml:space="preserve"> </w:t>
        </w:r>
        <w:r w:rsidRPr="009D3019">
          <w:rPr>
            <w:rFonts w:ascii="Calibri" w:eastAsia="Times New Roman" w:hAnsi="Calibri" w:cs="Calibri"/>
            <w:color w:val="3384E0"/>
            <w:sz w:val="24"/>
            <w:szCs w:val="24"/>
            <w:u w:val="single"/>
            <w:lang w:eastAsia="ru-RU"/>
          </w:rPr>
          <w:t>мины</w:t>
        </w:r>
      </w:hyperlink>
    </w:p>
    <w:p w:rsidR="003D32F4" w:rsidRDefault="003D32F4">
      <w:bookmarkStart w:id="0" w:name="_GoBack"/>
      <w:bookmarkEnd w:id="0"/>
    </w:p>
    <w:sectPr w:rsidR="003D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charset w:val="00"/>
    <w:family w:val="swiss"/>
    <w:pitch w:val="variable"/>
    <w:sig w:usb0="800000AF" w:usb1="4000604A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8EB"/>
    <w:multiLevelType w:val="multilevel"/>
    <w:tmpl w:val="452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20F"/>
    <w:multiLevelType w:val="multilevel"/>
    <w:tmpl w:val="5A8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1707"/>
    <w:multiLevelType w:val="multilevel"/>
    <w:tmpl w:val="2E56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13BCA"/>
    <w:multiLevelType w:val="multilevel"/>
    <w:tmpl w:val="004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44F18"/>
    <w:multiLevelType w:val="multilevel"/>
    <w:tmpl w:val="212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1288C"/>
    <w:multiLevelType w:val="multilevel"/>
    <w:tmpl w:val="590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E4733"/>
    <w:multiLevelType w:val="multilevel"/>
    <w:tmpl w:val="4B24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19"/>
    <w:rsid w:val="003D32F4"/>
    <w:rsid w:val="009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8449-2458-449B-BAF3-F02CF81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3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3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3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3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019"/>
    <w:rPr>
      <w:b/>
      <w:bCs/>
    </w:rPr>
  </w:style>
  <w:style w:type="character" w:styleId="a5">
    <w:name w:val="Hyperlink"/>
    <w:basedOn w:val="a0"/>
    <w:uiPriority w:val="99"/>
    <w:semiHidden/>
    <w:unhideWhenUsed/>
    <w:rsid w:val="009D3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4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15staryjoskol-r31.gosweb.gosuslugi.ru/netcat_files/152/2541/zalozhniki.pdf" TargetMode="External"/><Relationship Id="rId13" Type="http://schemas.openxmlformats.org/officeDocument/2006/relationships/hyperlink" Target="https://shkola15staryjoskol-r31.gosweb.gosuslugi.ru/netcat_files/152/2541/instruktsiya.pdf" TargetMode="External"/><Relationship Id="rId18" Type="http://schemas.openxmlformats.org/officeDocument/2006/relationships/hyperlink" Target="https://shkola15staryjoskol-r31.gosweb.gosuslugi.ru/netcat_files/152/2541/Pamyatka_pri_obnoruzhenii_miny_PFM_1_lepestok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hkola15staryjoskol-r31.gosweb.gosuslugi.ru/netcat_files/152/2541/vidy_ta.pdf" TargetMode="External"/><Relationship Id="rId12" Type="http://schemas.openxmlformats.org/officeDocument/2006/relationships/hyperlink" Target="https://shkola15staryjoskol-r31.gosweb.gosuslugi.ru/netcat_files/152/2541/taktika_terr.pdf" TargetMode="External"/><Relationship Id="rId17" Type="http://schemas.openxmlformats.org/officeDocument/2006/relationships/hyperlink" Target="https://shkola15staryjoskol-r31.gosweb.gosuslugi.ru/netcat_files/152/2541/Pamyatka_po_antiterroru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15staryjoskol-r31.gosweb.gosuslugi.ru/netcat_files/152/2541/Pamyatka_minnaya_opasnost_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hkola15staryjoskol-r31.gosweb.gosuslugi.ru/netcat_files/152/2541/rek_rasst.pdf" TargetMode="External"/><Relationship Id="rId11" Type="http://schemas.openxmlformats.org/officeDocument/2006/relationships/hyperlink" Target="https://shkola15staryjoskol-r31.gosweb.gosuslugi.ru/netcat_files/152/2541/chto_nado_znat.pdf" TargetMode="External"/><Relationship Id="rId5" Type="http://schemas.openxmlformats.org/officeDocument/2006/relationships/hyperlink" Target="https://shkola15staryjoskol-r31.gosweb.gosuslugi.ru/netcat_files/152/2541/Vneshniy_vid_samodel_nyh_vzryvnyh_ustroystv_inzhenernyh_boepripasov_kotorye_mogut_byt_ispol_zovany_dlya_teraktov.pdf" TargetMode="External"/><Relationship Id="rId15" Type="http://schemas.openxmlformats.org/officeDocument/2006/relationships/hyperlink" Target="https://shkola15staryjoskol-r31.gosweb.gosuslugi.ru/netcat_files/152/2541/Pamyatka_dlya_naseleniya_pri_artobstrele.pdf" TargetMode="External"/><Relationship Id="rId10" Type="http://schemas.openxmlformats.org/officeDocument/2006/relationships/hyperlink" Target="https://shkola15staryjoskol-r31.gosweb.gosuslugi.ru/netcat_files/152/2541/spisok_terr_org.pdf" TargetMode="External"/><Relationship Id="rId19" Type="http://schemas.openxmlformats.org/officeDocument/2006/relationships/hyperlink" Target="https://shkola15staryjoskol-r31.gosweb.gosuslugi.ru/netcat_files/152/2541/Pamyatka_protivopehotnye_min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15staryjoskol-r31.gosweb.gosuslugi.ru/netcat_files/152/2541/chto_delat_po_tel.pdf" TargetMode="External"/><Relationship Id="rId14" Type="http://schemas.openxmlformats.org/officeDocument/2006/relationships/hyperlink" Target="https://shkola15staryjoskol-r31.gosweb.gosuslugi.ru/netcat_files/152/2541/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2023-02-16T03:53:00Z</dcterms:created>
  <dcterms:modified xsi:type="dcterms:W3CDTF">2023-02-16T03:54:00Z</dcterms:modified>
</cp:coreProperties>
</file>